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DA COLUNA TORÁCICA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obtidas imagens por aquisição volumétrica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multislice</w:t>
      </w:r>
      <w:r w:rsidDel="00000000" w:rsidR="00000000" w:rsidRPr="00000000">
        <w:rPr>
          <w:sz w:val="24"/>
          <w:szCs w:val="24"/>
          <w:rtl w:val="0"/>
        </w:rPr>
        <w:t xml:space="preserve">, sem a administração endovenosa de contraste, com reformatações multiplanares.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Nodulo esclerótico de 1,4 cm no corpo vertebral de D8 correspondendo a imagem nodular descrita no RX de tórax de 20/04/2013. O aspecto de imagem favorece a possibilidade de enostose, Sugere-se correlação com cintilografia e/ou controle evolutivo.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Pequenos nódulos escleróticos nos corpos vertebrais de D2 e L1 com 0,4 e 0.5 cm, respectivamente,  também devendo corresponder a enostoses.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Corpos vertebrais alinhados no plano sagital e com altura preservada, com osteófitos marginais.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Discos intervertebrais de altura preservada, sem abaulamentos ou protrusões discais significativas.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Hipertrofia das interapofisárias no nível D3-D4. Artrose das interapofisárias nos níveis D4-D5 a D7-D8. Demais articulações interapofisárias de contornos regulares.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Pedículos e demais estruturas do arco posterior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Ausência de fraturas.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Diâmetros normais do canal vertebral e forames de conjugação.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Musculatura paravertebral sem alterações.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Juliana Frota Guimarães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João Carlos Rodrigues CRM 78991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