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DE IDADE ÓSSEA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Idade óssea já se aproximando dos 15 anos, segundo atlas de Greulich-Pyle, para o sexo masculino.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Conveniente controle precoce.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DURVAL DO CARMO BARROS SANTOS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DURVAL DO CARMO BARROS SANTOS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