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vfuubhgewmcy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RADIOGRAFIAS DA BACIA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Rarefação óssea difusa.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color w:val="494949"/>
        </w:rPr>
      </w:pPr>
      <w:r w:rsidDel="00000000" w:rsidR="00000000" w:rsidRPr="00000000">
        <w:rPr>
          <w:rtl w:val="0"/>
        </w:rPr>
        <w:t xml:space="preserve">Controle tardio de osteossíntese de fratura do colo femoral direito, instrumentada através de haste intramedular travada com parafusos metálicos. </w:t>
      </w:r>
      <w:r w:rsidDel="00000000" w:rsidR="00000000" w:rsidRPr="00000000">
        <w:rPr>
          <w:color w:val="494949"/>
          <w:rtl w:val="0"/>
        </w:rPr>
        <w:t xml:space="preserve">Fragmentos ósseos ao redor do foco de fratura.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Alterações degenerativas das articulações coxofemorais, com esclerose dos tetos acetabulares e pequenos osteófitos marginais, além de redução do espaço articular à esquerda.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da porção lateral da cortical da diáfise do fêmur esquerdo.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Artropatia degenerativa das sacroilíacas e da sínfise púbica.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Espondilose da coluna lombar inferior, parcialmente avaliada.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Entesófitos em sítios de origem e inserção tendíneas.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sem desalinhamentos ao método.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Ateromatose.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Calcificações grosseiras em partes moles.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Rodrigo Motta Pfiffer CRM 121855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Juliana Frota Guimarães CRM 143449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