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2ozdi4oy10k5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DA COLUNA CERVICAL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T1, T2 e T2*, pré e pós-contraste paramagnético,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tardio de espondilodiscite em C6-C7 e C7-D1, tendo discreta alteração de sinal/líquido laminar e realce nos espaços discais. Tênue edema/realce nos platô de C7-D1, com pequena impactação no platô anterossuperior de D1 e redução de sua altura.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Nota-se ainda tênue edema e realce do disco e dos platôs adjacentes no nível D1-D2, bem como tênue edema e realce discal no nível D2-D3.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Artrose atlantodental e entre as massas laterais de C1 e C2, com osteófitos, espessamento capsuloligamentar e calcificações periarticulares. Associa-se fino derrame e sinovite articular.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Osteofitose marginal difusa, com fusão parcial dos corpos vertebrais de C3 a C7, associados a degeneração e redução irregular dos discos intervertebrais.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Medular óssea difusamente heterogênea, predominantemente lipossubstituída.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Retificação da lordose cervical, com tendência à inversão.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C2-C3: sem hérnias ou protrusões discais. Fusão da interapofisária esquerda.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Níveis C3-C4 e C4-C5: sem hérnias discais. Uncoartrose bilateral, com moderada redução foraminal.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C5-C6: pequena protrusão discal posterior paramediana direita, com osteófitos e compressão dural. Uncoartrose bilateral, com acentuada redução foraminal.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C6-C7: protrusão discal com compressão dural. Uncoartrose bilateral, com leve redução foraminal. Espessamento de ligamentos amarelos e artrose interapofisária, com anquilose à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C7-D1: protrusão discal posterior paramediana direita, com fissura, osteófitos e impressão dural. Uncoartrose bilateral, com moderada redução foraminal. Espessamento de ligamentos amarelos e artrite interapofisária bilateral.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Canal vertebral e demais forames de calibres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Medula espinhal de calibre e intensidade de sinal habituais. Atrofia da musculatura paravertebral.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*Em relação ao estudo do dia 16/09/2015, houve significativa redução do edema e realce dos corpos vertebrais de C6 a D1.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Atul K. Taneja CRM 122458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Atul K. Taneja CRM 122458 e Dr. Durval do Carmo Barros Santos CRM 90774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