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RESSONÂNCIA MAGNÉTICA DO JOELHO ESQUERDO</w:t>
      </w:r>
    </w:p>
    <w:p w:rsidR="00000000" w:rsidDel="00000000" w:rsidP="00000000" w:rsidRDefault="00000000" w:rsidRPr="00000000">
      <w:pPr>
        <w:spacing w:before="12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Ressonância magnética realizada com técnica de fast spin-eco, com sequências pesadas em T1 e T2, com aquisição multiplanar, que evidencia: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Lesão em "alça de balde" do menisco medial, com </w:t>
      </w:r>
      <w:r w:rsidDel="00000000" w:rsidR="00000000" w:rsidRPr="00000000">
        <w:rPr>
          <w:i w:val="1"/>
          <w:sz w:val="24"/>
          <w:szCs w:val="24"/>
          <w:rtl w:val="0"/>
        </w:rPr>
        <w:t xml:space="preserve">flap</w:t>
      </w:r>
      <w:r w:rsidDel="00000000" w:rsidR="00000000" w:rsidRPr="00000000">
        <w:rPr>
          <w:sz w:val="24"/>
          <w:szCs w:val="24"/>
          <w:rtl w:val="0"/>
        </w:rPr>
        <w:t xml:space="preserve"> meniscal deslocado para o espaço intercondilar.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Menisco lateral sem sinais de lesões.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Espessamento e alteração de sinal do ligamento cruzado anterior, que apresenta continuidade mantida, achados compatíveis com estiramento / lesão parcial, sendo conveniente correlação com dados de exame físico para avaliação da suficiência ligamentar.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Lesão parcial do ligamento colateral medial, que se apresenta levemente espessado e heterogêneo, com edema periligamentar.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Ligamentos cruzado posterior e colateral lateral íntegros.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Fissura condral que atinge a camada média na margem interna da área de carga do côndilo femoral medial, sem alteração subcondral.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Pequena ilhota óssea no côndilo femoral medial.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Demais superfícies condrais e estruturas ósseas preservadas.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Tendões quadríceps e patelar sem alterações. Tendinopatia proximal da cabeça medial do gastrocnêmio.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Leve hoffite.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Moderado derrame articular. Sinais de rotura da cápsula articular posterior, com edema das partes moles adjacentes.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Relatado por: Dr. GUSTAVO ALCOFORADO FRANCO LIMA CRM 109406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Revisado e Assinado Eletronicamente por: Dr. GUSTAVO ALCOFORADO FRANCO LIMA CRM 109406 e Dr. Laercio Alberto Rosemberg CRM 47952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