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q5fsz3tx6t2j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DO OMBRO ESQUERDO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Ressonância magnética realizada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Artrose da articulação acrômio-clavicular com edema capsular e das superfícies articulares, inferindo componente artrítico.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Entesófitos subacromiais associado a espessamento do ligamento córaco-acromial que, em conjunto, reduzem a amplitude do espaço subacromial.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Pequenos cistos subcorticais no contorno póstero-lateral da cabeça umeral..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Hipoplasia do contorno póstero-inferior da cavidade glenóide, associado a alterações degenerativas do labrum glenoidal póstero-inferior, sem destacamentos do mesmo.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Alterações degenerativas no labrum anterior e ântero-inferior, com fibrilações de seus contornos.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Tendinopatia do supra-espinhal delgadas fissuras, sem transfixação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Tendinopatia do infra-espinhal e subescapular, sem lesões.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Tendão do cabo longo do bíceps tópico, com tendinopatia e fissura longitudinal no trajeto intra-articular.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e edema parietal na bursa subacromial/subdeltoídea, com lâmina de l[iquido no seu interior.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 articulação glenumeral apresenta espessamento e edema dos planos capsulo-sinoviais, mais acentuados no recesso axilar e no intervalo dos rotadores, com discreto derrame articular.Espessamento do ligamento córaco-umeral. Estes achados podem estar relacionados a capsulite adesiva, na dependência de correlação com dados clínicos.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Ventres musculares conservados.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Francisco Julio Muniz Neto CRM 159022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Ariel Filipe Wuerges de Aquino CRM 127150 e Dr. Luiz Guilherme Hartmann CRM 83851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