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2r6zbehc6mi7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DA COLUNA LOMBO-SACRA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             Helicoidal /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0,5 mm, com reconstruções multiplanares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Discreta retrolistese de L5 sobre S1.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Corpos vertebrais com textura óssea e alturas mantidas.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sinais de fraturas detectáveis ao método.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Níveis D12-L1 a L3-L4: ausência de protrusões ou herniações discais significativas.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Nível L4-L5: pequeno abaulamento discal, fazendo leve compressão dural anterior.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Nível L5-S1: pequeno abaulamento discal, com componente protruso paramediano e foraminal direito, tocando a raiz direita S1 no recesso lateral.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Dimensões normais do canal vertebral e forames de conjugação.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Articulações interapofisárias íntegras.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Planos músculo-adiposos paravertebrais sem alterações tomográficas significativas.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Persistindo a suspeita clínica, sugerimos correlacionar com RM.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FREDERICO CELESTINO MIRANDA CRM 127191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FREDERICO CELESTINO MIRANDA CRM 127191 e Dr. Daniel Alvarenga CRM 120246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