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DO JOELHO DIREITO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Aquisição: volumétrica multislice em flexão de 15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e 30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o </w:t>
      </w:r>
      <w:r w:rsidDel="00000000" w:rsidR="00000000" w:rsidRPr="00000000">
        <w:rPr>
          <w:rtl w:val="0"/>
        </w:rPr>
        <w:t xml:space="preserve">e em extensão (sem e com contração do quadríceps), conforme solicitação.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Colimação: 0,5 mm, com reformatações multiplanares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Patela tipo II de </w:t>
      </w:r>
      <w:r w:rsidDel="00000000" w:rsidR="00000000" w:rsidRPr="00000000">
        <w:rPr>
          <w:i w:val="1"/>
          <w:rtl w:val="0"/>
        </w:rPr>
        <w:t xml:space="preserve">Wiberg</w:t>
      </w:r>
      <w:r w:rsidDel="00000000" w:rsidR="00000000" w:rsidRPr="00000000">
        <w:rPr>
          <w:rtl w:val="0"/>
        </w:rPr>
        <w:t xml:space="preserve">, em topografia normal, centrada em relação ao sulco troclear.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Tróclea sem sinais de displasia.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Remodelamento ósseo na cortical posterior da diáfise distal do fêmur, no sítio de origem do gastrocnêmio medial, achado provavelmente sem correlação clínica.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ósseas de morfologia e textura habitual.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articulares preservados.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derrame articular.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Planos miotendíneos sem alterações ao estudo tomográfico.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Medidas:</w:t>
      </w:r>
    </w:p>
    <w:p w:rsidR="00000000" w:rsidDel="00000000" w:rsidP="00000000" w:rsidRDefault="00000000" w:rsidRPr="00000000">
      <w:pPr>
        <w:spacing w:before="120" w:lineRule="auto"/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49494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TAGT: 10mm (em extensão).</w:t>
      </w:r>
    </w:p>
    <w:p w:rsidR="00000000" w:rsidDel="00000000" w:rsidP="00000000" w:rsidRDefault="00000000" w:rsidRPr="00000000">
      <w:pPr>
        <w:spacing w:before="120" w:lineRule="auto"/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49494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Altura patelar (</w:t>
      </w:r>
      <w:r w:rsidDel="00000000" w:rsidR="00000000" w:rsidRPr="00000000">
        <w:rPr>
          <w:i w:val="1"/>
          <w:rtl w:val="0"/>
        </w:rPr>
        <w:t xml:space="preserve">Caton-Deschamps</w:t>
      </w:r>
      <w:r w:rsidDel="00000000" w:rsidR="00000000" w:rsidRPr="00000000">
        <w:rPr>
          <w:rtl w:val="0"/>
        </w:rPr>
        <w:t xml:space="preserve">): 0,9 (em flexão 15º)</w:t>
      </w:r>
    </w:p>
    <w:p w:rsidR="00000000" w:rsidDel="00000000" w:rsidP="00000000" w:rsidRDefault="00000000" w:rsidRPr="00000000">
      <w:pPr>
        <w:spacing w:before="120" w:lineRule="auto"/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49494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Sulco troclear: 134 graus</w:t>
      </w:r>
    </w:p>
    <w:p w:rsidR="00000000" w:rsidDel="00000000" w:rsidP="00000000" w:rsidRDefault="00000000" w:rsidRPr="00000000">
      <w:pPr>
        <w:spacing w:before="120" w:lineRule="auto"/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49494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Tilt patelar: 16 graus, com abertura medial (flexão 30º)</w:t>
      </w:r>
    </w:p>
    <w:p w:rsidR="00000000" w:rsidDel="00000000" w:rsidP="00000000" w:rsidRDefault="00000000" w:rsidRPr="00000000">
      <w:pPr>
        <w:spacing w:before="120" w:lineRule="auto"/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49494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Tilt patelar: 10 graus, com abertura medial (com contração)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Pedro Henrique M.Takiuti CRM 135142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Pedro Henrique M.Takiuti CRM 135142 e Dr. Luiz Guilherme Hartmann CRM 83851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