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RADIOGRAFIAs DOS JOELHOS E PATELAS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Densidade cálcica projetada no compartimento patelofemoral medial na incidência axial, medindo 0,6 x 0, 5 cm, sem correlação nas demais incidências. Pequena calcificação na gordura medial ou recesso medial articular suprapatelar do joelho esquerdo.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Diminutos osteófitos patelofemorais marginais à esquerda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estruturas ósseas sem alterações significativas apreciáveis ao método.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Articulações congruentes.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Dr. Daniel Arruda Teixeira - CRM 111755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Dr. Daniel Arruda Teixeira - CRM 111755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