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PLEXO BRAQUIAL direito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a técnica de fast spin-eco, em cortes multiplanares pesados em T1 e T2, pré e pós-contraste paramagnético, pesados em T1 e T2,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Origem habitual das raízes do plexo braquial na medula espinhal.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Raízes, troncos e divisões do plexo braquial de trajeto e sinal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se observa compressão do plexo braquial nos espaços interescaleno e costoclavicular.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ósseas de morfologia e sinal medular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formação com efeito expansivo ou coleções.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Ventres musculares da cintura escapular com trofismo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Lesão lobulada e heterogenea no leito do feixe vasculonervoso dorsal da escápula direita no plano de D2, com focos gordurosos de permeio, sugestivo de hemangioma, medindo 1,8 x 1,0 cm , sem efeito expansivo, provavelmente sem correlação com a queixa atual do paciente.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da coluna cervical descritos em estudo específico.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Hugo Pereira Costa - CRM 129267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Hugo Pereira Costa - CRM 129267 e Dr. Luiz Guilherme Hartmann - CRM 83851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