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DO JOELHO ESQUERDO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pré e pós-contraste paramagnético,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Meniscos sem sinais de lesão.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Ligamentos cruzados e colaterais com continuidade, espessura e sinal normais.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manipulação cirúrgica na região femoropatelar medial e lateral, tendo discretas irregularidades do retináculo / ligamento patelofemoral. Nota-se dois pequenos nódulos no subcutâneo sobrejacente ao retináculo patelar medial, com baixo sinal em T1, hipersinal em T2 e realce pós-contraste, medindo 0,5 cm e 0,4 cm, inespecíficos (pequenos neuromas? Granuloma?). Achado em correlação com o ponto de queixa clínica indicado pelo marcador cutâneo.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Condropatia patelar caracterizada por fissuras superficiais no vértice e início da faceta lateral, e afilamento condral irregular da faceta medial, com osteófitos planos, e foco de edema ósseo subcondral.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Alteração de sinal difuso do revestimento condral da tróclea, com irregularidades superficiais no sulco e faceta medial, com osteófito marginal.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Alteração de sinal do revestimento condral do compartimento femorotibial medial, com afilamento irregular da região central da área de carga do côndilo femoral medial.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Alteração de sinal com fissura e delaminação condral profunda na região central da área de carga do côndilo femoral lateral.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superfícies condrais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derrame articular.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Tendinopatia do quadríceps, com entesófito suprapatelar.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Tendão patelar sem alterações.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Cisto poplíteo medial (Baker).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*Em relação ao estudo realizado em outro serviço (disponível em imagens impressas e filmes) de 28/04/2015 não observamos alterações significativas nas séries comparáveis.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Vinicius Neves Marcos CRM 154471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Laercio Alberto Rosemberg CRM 47952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