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b w:val="1"/>
        </w:rPr>
      </w:pPr>
      <w:bookmarkStart w:colFirst="0" w:colLast="0" w:name="_gvenornhryud" w:id="0"/>
      <w:bookmarkEnd w:id="0"/>
      <w:r w:rsidDel="00000000" w:rsidR="00000000" w:rsidRPr="00000000">
        <w:rPr>
          <w:b w:val="1"/>
          <w:rtl w:val="0"/>
        </w:rPr>
        <w:t xml:space="preserve">RESSONÂNCIA MAGNÉTICA DA COLUNA DORSAL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Estudo realizado com a técnica de fast spin-eco, em cortes multiplanares pesados em T1 e T2, pré e pós-contraste paramagnético, evidenciou: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Corpos vertebrais com alinhamento, alturas e intensidade de sinal habituais.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Discos intervertebrais sem sinais de herniações ou protrusões posteriores significativos.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Nódulo ovalado de baixo sinal (calcificado em correlação com estudos tomográficos pregressos) e com realce periférico, em localização lateral direita no canal vertebral, intradural e extramedular, no nível de D10-D11, medindo 1,1 x 0,9 x 0,6 cm, determinando impressão sobre a medula espinhal. Considerar como principal hipótese meningeoma calcificado, estável em relação aos exames de 03/05/2013, 10/05/2012 e 12/01/2012.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canal vertebral e forames intervertebrais com dimensões preservadas.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Medula espinhal de calibre e intensidade de sinal habituais.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Planos músculo-adiposos paravertebrais conservados.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Eduardo Noda Kihara Filho CRM 124929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Eduardo Noda Kihara Filho CRM 124929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