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oqtnvbpr38dx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DO OMBRO DIREITO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Discretas alterações degenerativas da acrômio-clavicular com leve espessamento capsular e pequenos cistos subcondrais.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manipulação cirúrgica com colocação de parafuso / âncora no segmento anterior proximal do úmero. Outro parafuso no bordo anterior da glenóide, com fragmento de enxertia óssea adjacente (Bristow-Latarjet). Estes materiais metálicos produzem artefatos de susceptibilidade magnética limitando acentuadamente a avaliação das estruturas adjacentes.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Artrose glenoumeral com acentuado afilamento condral difuso, exuberantes osteófitos marginais e cistos subcondrais, notadamente na glenóide. Associa-se alteração degenerativa difusa do labrum glenoidal, com aspecto redundante e parcialmente interposto na interlinha glenoumeral superior.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Cistos subcorticais na cabeça umeral. Leve subluxação posterior da cabeça umeral em relação à glenóide.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Tendinopatia do supraespinhal, que se apresenta afilado com irregularidades de fibras, sem evidência de roturas transfixantes.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tendões do manguito rotador íntegros, consideradas as limitações devido aos artefatos supracitados.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Tendinopatia do segmento intra-articular do cabo longo do bíceps com fissura junto à sua origem na glenóide. O segmento extra-articular não é passível de análise devido aos artefatos.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líquido na bursa subacromial/subdeltoídea.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Volumoso derrame articular com espessamento sinovial e edema dos planos de partes moles adjacentes. Notam-se pequenos corpos livres medindo até 0,3 cm no recesso axilar. Ossificações de até 1,5 cm anteriores ao subescapular, possíveis corpos livres na bursa subcoracóide.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Ventres musculares tróficos.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da cápsula articular inferior, junto ao recesso axilar, com edema dos planos de partes moles adjacentes, achados que podem estar relacionados a sinovite ou a uma capsulite adesiva, a depender da correlação com os dados clínicos.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Paulo Eduardo Daruge Grando CRM 129841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Paulo Eduardo Daruge Grando CRM 129841 e Dr. Alexandre Castilho Valim CRM 124885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