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DA MÃO direita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da mão direita, realizada com a técnica de fast spin-eco e gradient-eco, em cortes multiplanares pesados em T1 e T2, pré e pós-contraste paramagnético, evidenciou: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ósseas de morfologia e sinal medular normais. Não há correspondência ao achado descrito no exame ultra-sonográfico de 12/11/2009.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tendineas preservadas.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Ligamentos íntegros.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Superfícies condrais regulares.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significativo derrame articular ou sinovite.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Planos musculares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Rodrigo Yacubian Fernandes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Rodrigo Yacubian Fernandes e Dr. Hamilton Picolo Guidorizzi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