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cjbw50cdktoh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RADIOGRAFIAS DO OMBRO DIREITO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Controle evolutivo de fixação de fratura do úmero proximal, com placa e parafusos metálicos, sem desalinhamento significativo ou sinais de solturas.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Rarefação óssea difusa.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Relação articular glenoumeral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Artrose acrômio-clavicular.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Fraturas consolidadas de arcos costais à direita.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Conrado Eduardo Foelker CRM 128608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Conrado Eduardo Foelker CRM 128608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