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DA COLUNA LOMBO-SACRA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(nível L4 - L5)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Método: Helicoidal / Multislice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Colimação: 0,5 mm, com reconstruções multiplanares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Realizada tomografia computadorizada do nível L4-L5 para avaliação de punção interapofisária esquerda, evidenciou a presença de calcificação das paredes do cisto sinovial da interapofisária, que tem 1,0 cm de diâmetro e comprime o saco dural em topografia posterior. Apesar da compressão posterior do saco dural não se evidencia compressão radicular, pelo cisto na posição em decúbito ventral.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calcificação das paredes do cisto contra-indica a infiltração, pois não se conseguirá redução de suas dimensões.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Associadamente identifica-se um abaulamento discal difuso com componente biforaminal podendo dar leve impressão de ambas as raízes L4.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Laercio Alberto Rosemberg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Laercio Alberto Rosemberg e Dr. Carlos Henrique Longo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