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COLUNA LOMBO-SACRA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/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Osteofitose marginal difusa.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Extensa artrodese de D10 a S2 com parafusos transpediculares a esquerda de D10 a S2 e a direita de D10 a L5 e hastes metálicas posteriores, sem sinais de soltura. Fragmento de parafuso transpedicular a direita em L3 que não se conecta a haste metálica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Ressecção dos processos espinhosos desde D10 a S2 com sinais de enxertia óssea e fusão parcial das facetas desde L2 a S2. Laminectomia ampla de L4 e parcial de L3 e L5. Há sinais de coleção liquida no leito cirúrgico posterior mediano, mais evidente no estudo por RM realizado na mesma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 retrolistese de L1 e anterolistese de L3, degenerativas.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redução da altura do corpo vertebral de L4, com acunhamento posterior, sem recuo significativo do muro posterior. Esclerose dos corpos vertebrais de L4 e L5, com acentuada redução da altura do respectivo disco intervertebral e fusão parcial dos corpos vertebrais.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D12-L1: Sem hérnias ou protrusões discais apreciáveis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L1-L2: protrusão discal lateroforaminal à esquerda com insinuação ao forame sem conflitos radiculares evidentes.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L2-L3: Abaulamento discal difuso retificando a margem ventral do saco dural, com componente protruso foraminal esquerdo. Artrose das interapofisárias.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L3-L4: Degeneração gasosa discal com abaulamento difuso e maiores componentes foraminais e extremolaterais bilateralmente, associados a calcificações discais e osteofitose posterior, fazendo leve impressão na margem ventral do saco dural e redução foraminal.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L4-L5: Esclerose dos corpos vertebrais com degeneração gasosa e acentuada redução da altura do disco intervertebral com pontos de fusão entre os corpos vertebrais. Osteófitos posteriores retificando a margem ventral do saco dural.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L5-S1: Abaulamento discal difuso com osteófitos posteriores tendo impressão dural anterior e insinuações foraminais obliterando a gordura perirradicular bilateral. Artrose com hipertrofia de interapofisárias reduzindo acentuadamente os calibres foraminais.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Hipotrofia e lipossubstituição dos planos musculares paravertebrais.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Em relação ao exame de 27/03/2010 não se observam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Matheus Jorge Iani - CRM 139733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Hugo Pereira Costa - CRM 129267 e Dr. Jan Stefan Lundberg - CRM 100712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