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DO JOELHO ESQUERDO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Ressonância magnética realizada com a técnica de fast spin-eco, em cortes multiplanares pesados em T1 e T2,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Meniscos sem sinais de lesão.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Ligamentos cruzados e colaterais íntegros.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Fissuras condrais profundas no vértice e início da faceta lateral da patela, com edema ósseo e cisto subcondral. Fissuras condrais profundas na faceta patelar medial, sem alteração óssea subcondral.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Irregularidade condral focal no contorno inferior da faceta medial da tróclea femoral. Osso subcondral preservado.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ósseas e superfícies condrais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derrame articular.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Leve tendinopatia insercional do quadríceps e proximal do patelar, com edema da gordura suprapatelar e infrapatelar lateral (Hoffite).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Estrias fibrocicatriciais na gordura de Hoffa.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Mínima peritendinite anserina.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Leve atrito da banda iliotibial.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parietal da bursa do semimembranoso / gastrocnêmio medial.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cisto artro-sinovial junto à tibiofibular proximal, sem relação com o nervo fibular.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Em relação ao estudo do dia 05/09/2013, nota-se redução do edema ósseo subcondral da patela. Demais achados sem alterações evolutivas significativas.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Paulo Eduardo Daruge Grando CRM 129841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Paulo Eduardo Daruge Grando CRM 129841 e Dr. Alexandre Castilho Valim CRM 124885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