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PERNA DIREITA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0,5 mm, com reconstruções multiplanares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desmineralização óssea difusa.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de fratura oblíqua na diáfise média / distal da tíbia, fixada com haste intramedular travada com parafusos metadiafisários proximais e distais. Há sinais de boa consolidação óssea no contorno posterior e medial da fratura, com exuberante calo ósseo em remodelação. Na face anterior e lateral da fratura ainda existem focos não consolidados completamente.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Fratura do parafuso de fixação mais superior da metadiáfise distal.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Fratura consolidada da metadiáfise distal da fíbula, sem desalinhamentos significativos.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Patela lateralizada e baixa (com o joelho em extensão). Associam-se alterações degenerativas da articulação patelofemoral, com acentuada redução do espaço articular.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Osso trígono, associado à proeminência do aspecto posterior do tálus.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proeminência óssea no aspecto dorsal posterior do calcâneo.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Pequenos osteófitos / irregularidades corticais no aspecto anterior e distal do maléolo lateral de aspecto sequelares.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Diminutas calcificações projetadas no trajeto do ligamento cruzado anterior, junto a sua inserção no aspecto posterior e interno do côndilo femoral lateral.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Atrofia e lipossubstituição difusa da musculatura do compartimento posterior da pena.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Focos de atrofia no segmento distal da musculatura do compartimento lateral da perna.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Ateromatose.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densificação do tecido celular subcutâneo nos maléolos.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dos planos de partes moles sem particularidades à tomografia.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