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JOELHO esquerdo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a técnica de fast spin-eco, em cortes multiplanares pesados em T1 e T2,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Meniscos sem sinais de lesão.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Ligamentos cruzados e colaterais íntegros.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Observa-se uma alteração de sinal na camada profunda da cartilagem articular da porção posterior do côndilo femoral medial, sem evidente extensão para a superfície articular ou alteração do osso subcondral. Há possibilidade de se tratar de alteração da ossificação (variante do normal). Sugere-se controle em 6 meses com utilização do meio de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superfícies condrais sem particularidades para a faixa etária.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ósseas de morfologia e sinal medular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Mínimo derrame articular.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Tendão patelar e quadríceps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edema da gordura de Hoffa no trajeto do ligamento mucoso e junto a bursa retropatelar.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ao estudo de 05/04/2013, nota-se redução do derrame articular. Os demais achados permanecem evolutivamente semelhantes.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