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COLUNA CERVICAL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/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de controle em relação ao estudo anterior de 17/11/2008, observando-se: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Aumento do desalinhamento entre os componentes da fratura na base do odontóide, com leve deslocamento anterior do elemento superior sobre o inferior, este último permanecendo alinhado longitudinalmente com os corpos vertebrais inferiormente contíguos, sem repercussões significativas sobre o diâmetro do canal vertebral.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Alargamento de espaço entre os arcos posteriores de C1-C2.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permanecem sem alterações significativas: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Rarefação óssea difusa, com textura heterogênea dos corpos vertebrais com áreas de esclerose dos platôs e áreas císticas de C3 a C5 (degenerativas).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Retificação da curvatura fisiológica com inversão da angulação entre C2 e C3.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Hipertrofia e esclerose das articulações interapofisárias e uncovertebrais difusamente.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Abaulamentos discais e complexos disco-osteofitário fazendo contato com a face ventral do saco dural de C3-C4 a C6-C7.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 Complexos disco-osteofitários associados à artrose de interapofisárias e uncoartrose, determinando redução dos forames de conjugação de C4-C5 a C6-C7.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