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COLUNA LOMBO-SACRA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/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mm, com reconstruções multiplanares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EV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 pós-cirúrgico.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Manipulação cirúrgica com ressecção parcial do bordo posteroinferior esquerdo do corpo vertebral de L3, associada a densificação de partes moles e diminutos fragmentos ósseos no trajeto cirúrgico, destacando-se uma diminuta calcificação de 2 mm na margem medial do leito da lesão ressecada (controle a critério). Bolhas de ar em partes moles paravertebrais, sem coleções.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Reação esclerótica / espessamento cortical na parede lateral do corpo e pedículo esquerdo de L3.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Desvio escoliótico de convexidade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Corpos vertebrais alinhados, com textura óssea e alturas mantidas.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protrusões ou herniações discais significativas apreciáveis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Dimensões normais do canal vertebral e forames de conjugação.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Articulações interapofisárias íntegras.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