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aquisições multiplanares antes e após administração de contraste paramagnético (gadolínio),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Corpos vertebrais com alturas, alinhamento e intensidade de sinal medular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Discos intervertebrais sem sinais de herniações ou protrusões posteriores significativos.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Elementos do arco posterior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Canal vertebral e forames intervertebrais com dimensões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Cone medular de topografia, morfologia e intensidade de sinal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de 0,5 cm nas raízes da cauda equina, no nível de L1, sem realce significativo pelo meio de contraste. Considerar a possibilidade de neurinoma. Sugere-se 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Edema na topografia dos ligamentos interespinhosos de L2 a L5, inferindo sobrecarga mecânica.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músculo-adiposos paravertebrais conservados.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