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PUNHO e do antebraço esquerdos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pós-cirúrgico.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Ressecção distal do rádio, reconstruído com enxerto ósseo consolidado.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 das superfícies articulares, esclerose e hipertrofia óssea entre a extremidade distal do enxerto e os ossos do carpo. Pequenos fragmentos ósseos irregulares adjacentes.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Trajetos cirúrgicos na fileira proximal do carpo e nos terços médio e distal do rádio, estes últimos com clipes metálicos em partes moles adjacentes.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Geodos esparsos pelos ossos do carpo, o maior no trapezóide.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do espaço ulno-carpal com irregularidades e cisto subcortical no processo estilóide ulnar.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 entre a ulna distal e o enxerto ósseo de 0,7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/ densificação das partes moles na região dorsal do antebraço proximal.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Estrias retráteis pós-cirúrgicas em planos adiposos ao redor dos compartimentos tendíneos extensores no antebraço distal.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Comparativamente ao estudo de 15/02/2012, não se observam alterações evolutivas significativas.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