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DO JOELHO DIREITO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a técnica de fast spin-eco, em cortes multiplanares pesados em T1 e T2, evidenciou: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Meniscos sem sinais de lesão.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Ligamentos cruzados e colaterais com continuidade, espessura e sinal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Fissuras profundas na faceta medial e no vértice patelar, esta última com delaminação em camadas profundas (0,6 cm), sem edema subcondral.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Tendões patelar e quadriceptal sem alterações.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Fina plica sinovial parapatelar medial, não interposta.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Superfícies condrais sem particularidades.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ósseas de morfologia e sinal medular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Derrame articular com sinais de sinovite.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Proliferação sinovial focal no recesso suprapatelar lateral, de aspecto nodular alongado, com edema circunjacente, inclusive não se podendo afastar focos hemáticos de permeio. Controle precoce recomendado.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Distensão líquida da bursa do semimembranoso / gastrocnêmio medial, formando cisto poplíteo (4,3 x 2,4 x 1,2 cm), com fina lâmina líquida adjacente em planos interfasciais.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