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COLUNA LOMBO-SACRA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técnica de fast spin-eco, com sequências pesadas em T1 e T2, com aquisição multiplanar, que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do espaço discal L5-S1 com alteração do sinal discal, sugerindo calcificação/gás no interior (correlacionar com radiografias).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listese anterior grau I de L5-S1, com intenso edema dos platôs adjacentes, sugerindo alterações do tipo Modic I. Conveniente no entanto, correlação com exames laboratoriais e controle precoce.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corpos vertebrais alinhados com morfologia, sinal e altura habituais.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L3-L4: Discreto abaulamento discal, de predomínio à esquerda, sem compressão radicular.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L4-L5: Líquido laminar nas interapofisárias.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L5-S1: Abaulamento discal difuso que retifica a margem ventral do saco dural e se insinua para a base dos forames de conjugação, tocando a emergência das raízes L5. Hipertrofia das interapofisárias. Lise dos istmos de L5 bilateralmente.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discos intervertebrais sem herniações ou protrusões discais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Cone medular e cauda equina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Musculatura paravertebral posterior sem alterações.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