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Ante-pÉ ESQUERDO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na técnica de fast spin-eco, em cortes multiplanares pesados em T1 e T2, pré e pós-contraste paramagnético,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Colocado marcador cutâneo na região de interesse.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Infradesnivelamento da cabeça do 4º metatarso.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e irregularidade de pele e subcutâneo na face medial do hálux no plano da interfalangeana.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Alteração de sinal e realce da medular óssea do terço médio/distal da falange proximal adjacente. Apesar de o aspecto poder corresponder a alteração degenerativa, tendo em vista a proximidade com o processo inflamatório de pele e subcutâneo, não se pode descartar a possibilidade de fase incipiente inflamatória/infecciosa, sendo conveniente controle precoce. Lâmina líquida articular com realce sinovial.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Alterações degenerativas da metacarpo-falângica e gleno-sesamoideas do hálux com afilamento condral, osteófitos marginais e pequenos cistos/focos de edema ósseo subcondral, inclusive no sesamóide medial. Lâmina líquida articular com sinovite reacional.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Desvio em varo do 5º dedo.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com morfologia e sinal medular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Peritendinite dos extensores do hálux.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tendões sem alterações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Obliteração da gordura perineural plantar do 2º e 3º espaços intermetatársicos distais, sem nítidas formações nodulares. Associa-se a lâmina líquida nas respectivas bursas interdigitais.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Áreas de sobrecarga no coxim gorduroso plantar subjacente às cabeças do 4º e 5º metatarsos.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Hipotrofia difusa da musculatura interóssea do ante-pé com edema e substituição gordurosa, sugerindo denervação.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