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RADIOGRAFIAS DOs PÉs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tardio de osteotomia bilateral do primeiro metatarso com parafusos nas diáfises médias. Clipe metálico na falange proximal do hálux direito.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Osso fibulares acessórios bilateral.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ósseas sem alterações significativas apreciáveis ao método.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articulares conservados.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Diminutos entesófitos na inserção distal do calcâneo direito.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