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RADIOGRAFIAs DA MÃO ESQUERDA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Exame direcionado para área de interesse (quinto dedo da mão esquerda).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Paciente refere controle tardio de fratura na falange distal do quinto dedo.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ósseas sem anormalidades significativas apreciáveis ao método.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redução do espaço interfalangiano distal do quinto dedo.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espaços articulares conservados.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calcificações patológicas.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