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RADIOGRAFIAS DO FêMUR DIREITO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tardio de fratura cominutiva femoral fixada por haste intramedular com parafusos transcervicais.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Fratura subtrocantérica está consolidada.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Fratura oblíqua na diáfise proximal mantém bordos escleróticos e sem consolidação evidente, com mínima diastase e desalinhamento entre os fragmentos.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alterações significativas em relação ao exame anterior de 26-06-2008.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