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TORNOZELO ESQUERDO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na técnica fast spin-eco, em cortes multiplanares pesados em T1 e T2, pré e pós-contraste paramagnético, evidenciou: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 fragmento ósseo sequelar avulsivo, com aproximadamente 0,7 cm junto ao contorno ântero-inferior do maléolo medial, apresentando tênue edema ósseo.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Pequenos osteófitos marginais tibiotalares anteriores e posteriores, e talo-naviculares dorsais.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Ossículo navicular acessório tipo I.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irregularidade condral no revestimento anterior da tibiofibular distal com discreto edema / diminutos cistos na fíbula adjacente.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ósseas com morfologia e sinal medular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derrame articular significativo.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Tendinopatia na inserção navicular do tibial posterior.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tendinopatia inframaleolar do fibular curto.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Tendão fibular IV acessório.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Entesopatia distal do calcâneo.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tendões sem alterações significativas.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Alteração cicatricial com afilamento do ligamento fibulotalar anterior, permanecendo com fibras em continuidade.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alteração cicatricial na fixação fibular do ligamento fibulocalcâneo, que permanece íntegro.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Alteração de sinal cicatricial de fibras profundas do ligamento deltóide.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complexos ligamentares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Esporão ósseo plantar com espessamento de aspecto crônico da inserção da fáscia plantar.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sólido medindo aproximadamente 1,3 x 0,8 x 1,6 cm, localizado em partes moles subcutâneas da face lateral posterior do calcâneo, lateral a inserção do tendão calcâneo, apresentando um intenso realce homogêneo pelo meio de contraste. O aspecto de imagem é inespecífico, e apesar da possibilidade de lesão de natureza neural, não se pode afastar lesão de maior agressividade histológica, sendo necessária correlação anatomopatológica.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