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DO PÉ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Reação ósteo-hipertrófica entre o cuneiforme medial e a base do primeiro metatarso, com bico ósseo dorsal, além de ossificação de 0,8 x 0,4 cm, localizada entre a base do primeiro e do segundo metatarsos e o cuneiforme medial, aspecto crônico / sequelar. Há discreta densificação das partes moles subcutâneas dorsais sobrejacentes, correlacionando-se com a topografia demarcada.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Ínfimos osteófitos tibiotalares com pequenas calcificações, de até 0,3 cm, no recesso anterior e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Irregularidades corticais no maléolo lateral e no maléolo medial, com pequeno fragmento ósseo de 0,2 cm adjacente ao contorno inferior do medial.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Diminutos ossículos naviculares acessórios.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Ossículo fibular acessório.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Enostose na base do processo anterior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Prolongamento dos processos posterior do tálus e anterior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Discreta proeminência do processo fibular do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Pequenos entesófitos posteriores e inferiores no calcâneo.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significativo derrame articular.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