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PUNHO direito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a técnica de fast spin-eco e gradient-eco, em cortes multiplanares pesados em T1 e T2. Exame realizado sem injeção de contraste paramagnético por solicitação da paciente, reduzindo a sensibilidade do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Junto ao local da marcador cutâneo (área dolorosa referida pela paciente), nota-se tendinopatia e peritendinite com fissura longitudinal junto à inserção do tendão flexor ulnar do carpo no pisiforme. Associa-se calcificação profunda ao tendão, em correlação com radiografias simples de mesma data, admitindo no diferencial a possibilidade de etiologia calcárea expulsiva.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Tendinopatia com pequena distensão da bainha sinovial do extensor ulnar do carpo.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tendões conservados.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Cisto subcortical no bordo volar do trapezóide.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ósseas com morfologia e sinal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Superfície condrais regulares.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aumento do líquido articular na radioulnar distal, recessos ulno e radio-cárpicos.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Foco de desinserção parcial crônico do ligamento escafo-semilunar no escafóide, componente volar. Componente dorsal íntegro. Não há afastamento ósseo.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ligamentos sem lesões significativas.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Alteração degenerativa da inserção ulnar da fibrocartilagem triangular. Tênue irregularidade de seu disco central.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Nervo mediano com espessura e sinal conservados no interior do túnel do carpo.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Cisto artro-sinovial junto à origem do ligamento radioescafocapitato volar, medindo 1,7 x 1,4 cm.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