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DA COLUNA DORSAL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realizada com técnica de fast spin-eco, com sequências pesadas em T1 e T2, com aquisição multiplanar, antes e após contraste endovenoso, que evidencia: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Corpos vertebrais com alinhamento, alturas e intensidade de sinal habituais.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Discos intervertebrais sem sinais de herniações ou protrusões posteriores significativos.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Nódulo ovalado de baixo sinal (calcificado em correlação com estudos tomográficos pregressos) e com realce periférico, em localização lateral direita no canal vertebral, intradural e extramedular, no nível de D10-D11, medindo 1,1 x 0,8 x 0,6 cm, dando impressão sobre a medula espinhal. Considerar como principal hipótese a de meningeoma calcificado. Encontra-se estável em relação aos exames de 10/05/12 e 12/01/12.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Restante do canal vertebral e forames intervertebrais com dimensões preservadas.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Medula espinhal de calibre e intensidade de sinal habituais.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Planos músculo-adiposos paravertebrais conservados.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Derrame pleural laminar posterior bilateral. Estudo dirigido a critério clínico.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