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cervical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as técnicas de fast spin-eco e gradient-eco, com sequências pesadas em T1, T2 e T2*, com aquisição multiplanar, que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Acentuação da curvatura cervical, na posição do exame.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Artrose atlanto-dental, com osteófitos marginais, cistos e esclerose subcorticais, além de espessamento cápsulo-sinovial associado a depósitos cálcicos (em correlação à TC).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Mínimas listeses posterior de C3 e anteriores de D1 a D3, degenerativas.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corpos vertebrais cervicais alinhados, com alturas mantidas, apresentando osteófitos marginais.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C2-C3: Mínima protrusão discal mediana. Artrose da interapofisária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C3-C4: Abaulamento difuso com osteófitos e componente extruso paramediano direito migrado inferiormente fazendo compressão dural. Artrose das uncovertebrais e das interapofisárias, reduzindo os calibres foraminais, mais importante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C4-C5: Protrusão discal mediana. Artrose da uncovertebral e da interapofisária à esquerda, reduzindo o calibre foraminal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C5-C6: Pequeno abaulamento discal com osteófitos posteriores. Uncoartrose bilateral e artrose da interapofisária direita reduzem o calibre foraminal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Níveis C6-C7 e C7-T1: Sem protrusões discais ao método. Leve artrose de interapofisárias.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Canal vertebral e demais forames intervertebrais com dimensões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Medula espinhal de calibre e intensidade de sinal habituais.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músculo-adiposos paravertebrais com leve hipotrofia.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mucoso esfenoidal.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 adicional: Anquilose de corpos vertebrais dorsais altos.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