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DO TORNOZELO direito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na técnica fast spin-eco, em cortes multiplanares pesados em T1 e T2, evidenciou: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Edema ósseo na extremidade anterior do maléolo lateral, com discretas irregularidades, podendo representar diminutas avulsões corticais junto a topografia do ligamento fibulotalar anterior, em correlação com radiografias recentes (16/02/2013).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Lesão completa do ligamento fibulotalar anterior com borramento dos planos gordurosos e tênue tecido de granulação adjacente. Lesão parcial na origem do ligamento fibulocalcâneo.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cicatricial do folheto profundo do ligamento deltóide.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ligamentares com aspecto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 lesão focal com alto sinal em T2 na fíbula distal, podendo lesão condral de baixa agressividade.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Prolongamento do processo anterior do calcâneo.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ósseas com morfologia e sinal medular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se evidenciam lesões osteocondrais.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Derrame articular subtalar posterior.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Distensão líquida da bainha do tendão extensor longo dos dedos, dos flexores e do tibial posterior.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tendões sem alterações significativas.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Fáscia plantar de aspecto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estiramento do ventre muscular extensor curto dos dedos.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Edema difuso do subcutâneo ao redor do tornozelo e dorso do pé.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 relação ao exame anterior de 19/09/2012 (guardadas as diferenças técnicas, sendo o estudo atual sem contraste endovenoso), observam-se as lesões ligamentares, o leve edema ósseo no maléolo lateral, o estiramento muscular e o edema difuso dos planos subcutâneos.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