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OMBRO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e edema cápsulo-sinovial do recesso axilar compatível com capsulite adesiva, na dependência de correlação clínica.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Articulação acrômio-clavicular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Cabeça umeral e glenóide com morfologia normais..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Focos de edema ósseo na tuberosidade maior e porção póstero-superior da cabeça umeral.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Labros da glenóide sem lesões apreciáveis.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Tendinopatia do supra-espinhal, com fissuras intra-substanciais, sem lesões transfixantes.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tendinopatia do subescapular, sem roturas.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tendões do manguito rotador com espessura 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tendinopatia da cabeça longa do bíceps, notadamente da porção intra-articular, notando-se tênue fissura intrínseca.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Líquido laminar e espessamento reacional da bursa subacromial/subdeltoídea.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derrame na articulação gleno-umeral.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Ventres musculares conservados.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