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JOELHO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meniscectomia parcial medial, com encurtamento das margens livres do corpo e corno posterior.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Degeneração mucóide na raiz anterior do menisco lateral, com fina extensão para a superfície superior.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Ligamento cruzado anterior arqueado, com irregularidade e alteração de sinal de suas fibras (aspecto cicatricial / degenerativo). O grau de suficiência ligamentar depende de correlação clínica.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Ligamentos cruzado colaterais íntegros.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Ligamento cruzado posterior integro, porém verticalizado em decorrência de pequena translação anterior da tíbia.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Osteotomia metadiafisária medial proximal da tíbia, fixada com placas e parafusos metálicos.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Erosão condral superficial no início da faceta lateral da patela, medindo 0,8 x 0,7 cm, sem alteração subcondral.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Fissuras profundas no início da faceta lateral da tróclea femoral, sem alteração óssea.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Osteófitos marginais tricompartimentais.incipientes.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derrame articular.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Entesopatia distal do quadríceps e proximal do patelar.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Traves fibrocicatriciais na face medial e profunda da gordura de Hoffa.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exame pregresso de 24/01/2013, não houve alterações significativas.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