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LOMBOSSACRA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aquisição multiplanar, que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Caracterizadas seis vértebras de forma lombar, sendo considerada uma vértebra de transição lombossacra. Correlacionado com radiografia de tórax de 16/02/2012.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Corpos vertebrais com alturas e alinhamento preservados, apresentando osteófitos marginais.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hemangioma no corpo vertebral de L3.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Discopatia degenerativa multissegmentar, mais evidente em L4-L5, onde se associam alterações degenerativas do tipo Modic I e II (edema e gordura).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L1-L2: Mínima protrusão paramediana esquerda.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L2-L3: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L3-L4: Abaulamento discal com impressão dural e componente protruso foraminal/extremolateral esquerdo sem nítida compressão radicular.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L4-L5: Discreta protrusão discal biforaminal, sem compressão radicular.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L5-VT: Abaulamento discal difuso com compressão dural. Leve hipertrofia das interapofisárias e osteófitos foraminais contribuem para redução dos forames.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VT-Sacro: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Canal vertebral e demais forames intervertebrais com dimensões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Cone medular de topografia, morfologia e intensidade de sinal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Raízes da cauda equina de distribuição anatômica no interior do saco dural.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Hipotrofia com parcial lipossubstituição da musculatura paravertebral póstero-inferior.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