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ARCOS COSTAIS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técnica de fast spin-eco, com sequências pesadas em T1 e T2, com aquisição multiplanar, pré e pós-contraste paramagnético,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direcionado para avaliação de imagem focal óssea no sexto arco costal direito e correlacionado com tomografia computadorizada de tórax realizada nesta mesma data.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Sinal levemente heterogêneo da medular óssea no aspecto posterolateral do sexto arco costal direito, de limites imprecisos. Delimita-se nesta topografia uma imagem nodular com contornos bem definidos e bordos escleróticos, medindo cerca de 1,7 cm, assim como outras diminutas imagens de características semelhantes, adjacentes e mais posteriores na mesma costela. Não se observam rompimentos das corticais ou componentes de partes moles. O aspecto é inespecífico, porém sem elementos de agressividade radiológica.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englobadas de morfologia e sinal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Aspecto estável quando comparado à tomografia computadorizada de 16/05/2012, ressalvadas as diferenças entre os métodos.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