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OMBRO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Articulação acromioclavicular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quantidade de líquido junto à inserção no coracóide dos ligamentos coracoclaviculares, que permanecem íntegros.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impactação óssea crônica na porção inferior do rebordo anteromedial da cabeça umeral que pode corresponder a Hill-Sachs reverso.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Fissura com alteração cicatricial na base do lábio posterior da glenóide, mais evidente no segmento posterossuperior onde há cisto paralabral multiloculado com cerca de 1,9 x 0,5 cm e bolhas de gás no seu interior (correlacionado com TC de tórax de 15/04/2013). O lábio glenoidal permanece tópico.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forma 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Tendões do manguito rotador com espessura 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Tendão da cabeça longa do bíceps tópico, com espessura e sinal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acúmulo líquido/cisto com até 1,1 cm na topografia da bursa subacromial/subdeltoidea, junto ao ligamento córaco-acromial.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derrame na articulação gleno-umeral. Discreto espessamento crônico da cápsula articular no recesso axilar.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Ventres musculares tróficos.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