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Ante-pÉ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na técnica de fast spin-eco, em cortes multiplanares pesados em T1 e T2, pré e pós-contraste paramagnético,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de controle evolutivo.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região referida pela paciente nota-se leve edema da medular óssea do terceiro metatarso, que se estende até sua base. Há sinais de espessamento cortical / calo ósseo no bordo plantar da diáfise média do terceiro metatarso, sem desalinhamentos.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Notam-se também focos de edema ósseo nas bases dos segundo e quarto metatarsos.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com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derrame articular significativo.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Tendões sem alterações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caracterizamos formações nodulares ou coleções.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de 30/10/10 observamos significativa redução do edema ósseo e das partes moles no terceiro metatarso, com formação de calo ósseo na cortical diafisária do bordo plantar.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