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DO OMBRO esquerdo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realizada com a técnica de fast spin-eco, em cortes multiplanares pesados em T1 e T2, pré e pós-contraste paramagnético, evidenciou: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Leve artrose acromioclavicular.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Controle evolutivo.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Sinais de necrose avascular na porção medial da cabeça umeral, se estendendo até a região metafisária proximal do úmero, numa extensão de 4 x 3 x 2 cm, com realce da medular óssea adjacente. Deformidade com impactação da porção medial da superfície articular da cabeça umeral, retificada, com pequena fratura subcondral local.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Afilamento condral difuso da glenóide com áreas de edema ósseo subcondral na porção superior.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Tendinopatia supra-espinhal sem lesões transfixantes.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tendões do manguito rotador preservados.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Tendinopatia com fissura longitudinal na porção intra-articular da cabeça longa do bíceps.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Leve espessamento parietal da bursa subacromial/subdeltóide.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Pequeno derrame articular associado espessamento sinovial.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Ventres musculares tróficos.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