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obct5kq93on5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Em relação ao exame de 04/10/2013: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Redução das dimensões da lesão subcortical parietal na média convexidade à direita, não se evidenciando mais contrastação significativa (que era anelar).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Redução dos focos de realce nas lesões subcorticais frontais bilaterais, na lesão ovalada na coroa radiada esquerda, notando-se leve redução da alteração de sinal correspondente em FLAIR.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é mais caracterizado realce no foco puntiforme posterior ao átrio ventricular esquerdo.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identificadas áreas de restrição à difusão.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Extensão similar das demais múltiplas lesões com hipersinal em T2/FLAIR na substância branca dos hemisférios cerebrais, que predominam na região periventricular e em grande parte têm orientação perpendicular à superfície ependimária, sugerindo distribuição perivenular, acometendo também o corpo caloso, os tálamos, mesencéfalo, hipocampos, a ponte, pedúnculos cerebelares médios e os hemisférios cerebelares, múltiplas justacorticais. Algumas dessas lesões apresentam porção central de mais alto sinal em T2 e baixo sinal em T1.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É semelhante o afilamento difuso do corpo caloso e a alteração de sinal na interface caloso-septal.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Permanecem estáveis: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Alargamento dos sulcos corticais, fissuras inter-hemisférica a sylvianas, assim como aumento dos ventrículos laterais e do terceiro ventrículo.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Tênue hipersinal em T1 nos globos pálidos e núcleos denteados cerebelares compatível com deposição de minerais.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Cisto de retenção submucoso em parede posterolateral esquerda da rinofaringe.</w:t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</w:rPr>
      </w:pPr>
      <w:r w:rsidDel="00000000" w:rsidR="00000000" w:rsidRPr="00000000">
        <w:rPr>
          <w:b w:val="1"/>
          <w:color w:val="494949"/>
          <w:rtl w:val="0"/>
        </w:rPr>
        <w:t xml:space="preserve">IMPRESSÃO: Controle evolutivo de afecção desmielinizante não evidencia novas lesões ou novas áreas de realce pelo gadolínio em relação ao exame de 04/10/2013. Algumas lesões anteriormente contrastantes não mais apresentam realce e outras têm realce menos intenso. Persistem semelhantes os sinais de redução volumétrica encefálica.</w:t>
      </w:r>
      <w:r w:rsidDel="00000000" w:rsidR="00000000" w:rsidRPr="00000000">
        <w:rPr>
          <w:color w:val="ff0000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Rogerio Iquizli CRM 107751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Rogerio Iquizli CRM 107751 e Dr. Eduardo Carneiro Lima CRM 77511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