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ACHADOS: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comparativa em relação ao estudo realizado em 27 de dezembro de 2012.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alargamento global dos espaços liquóricos intracranianos, denotando acentuação da redução volumétrica encefálica.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mais se observa o tênue realce pós-contraste nas lesões localizadas na substância branca subcortical dos giros frontal superior e pré-central esquerdo.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Não se observam novas lesões ou áreas de quebra de barreira hematoencefálica.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Permanecem sem alterações evolutivas os demais achados, abaixo descritos.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Similares as lesões no pedúnculo cerebelar esquerdo, na transição mesencéfalo-pontina direita, e as demais na substância branca cerebral, assumindo aspecto extenso e confluente na substância branca periventricular, coroas radiadas e centros semiovais, com múltiplas lesões subcorticais, sobretudo nas regiões frontoparietais, algumas com áreas corticais de anormalidade de sinal associadas. Predominam na região periventricular e em grande parte têm orientação perpendicular à superfície ependimária, sugerindo distribuição perivenular, acometendo também o corpo caloso (difusamente afilado), os tálamos, mesencéfalo, a ponte, pedúnculos cerebelares médios e os hemisférios cerebelares. Algumas dessas lesões apresentam porção central de mais alto sinal em T2 e baixo sinal em T1 ("</w:t>
      </w:r>
      <w:r w:rsidDel="00000000" w:rsidR="00000000" w:rsidRPr="00000000">
        <w:rPr>
          <w:i w:val="1"/>
          <w:rtl w:val="0"/>
        </w:rPr>
        <w:t xml:space="preserve">black holes"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Hipersinal em T1 nos globos pálidos e núcleos denteados cerebelares compatível com deposição de minerais.</w:t>
      </w:r>
    </w:p>
    <w:p w:rsidR="00000000" w:rsidDel="00000000" w:rsidP="00000000" w:rsidRDefault="00000000" w:rsidRPr="00000000">
      <w:pPr>
        <w:spacing w:before="120" w:lineRule="auto"/>
        <w:contextualSpacing w:val="0"/>
        <w:rPr/>
      </w:pPr>
      <w:r w:rsidDel="00000000" w:rsidR="00000000" w:rsidRPr="00000000">
        <w:rPr>
          <w:rtl w:val="0"/>
        </w:rPr>
        <w:t xml:space="preserve">Cisto de retenção submucoso em parede posterolateral esquerda da rinofaringe.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IMPRESSÃO: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afecção desmielinizante revela, em relação ao estudo de referência, redução dos sinais de atividade inflamatória nas lesões do giro frontal superior e pré-central à esquerda, sem evidência de novas lesões e com estabilidade do número e características das demais. Sinais de discreta acentuação da redução volumétrica encefálica global.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Felipe Barjud P. do Nascimento CRM 140256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Mariana Dalaqua CRM 120538 e Dr. João Radvany CRM 13765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