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ho8rvangr9yj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Estudo de controle em relação à ressonância magnética do dia 19/09/2013: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Permanece estável a imagem nodular na substância branca periventricular à esquerda, medindo 0,5 x 0,4 x 1,0 cm (AP x LL x CC), com hipersinal em T2 / FLAIR e hipossinal em T1. Não temimpregnação pelo meio de contraste, restrição à difusão, efeito expansivo ou retrátil e é sugestiva de área gliótica cicatricial de etiologia indeterminada.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encefálicas permanecem com posições, morfologia e características de sinal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foram caracterizadas áreas de contrastação patológica.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foram identificadas áreas de restrição à difusão.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Joao Paulo Bacellar Costa Lima CRM 146311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Gabriela Grinberg Dias CRM 120280 e Dr. João Radvany CRM 13765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