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494949"/>
          <w:sz w:val="28"/>
          <w:szCs w:val="28"/>
        </w:rPr>
      </w:pPr>
      <w:r w:rsidDel="00000000" w:rsidR="00000000" w:rsidRPr="00000000">
        <w:rPr>
          <w:b w:val="1"/>
          <w:color w:val="494949"/>
          <w:sz w:val="28"/>
          <w:szCs w:val="28"/>
          <w:rtl w:val="0"/>
        </w:rPr>
        <w:t xml:space="preserve">RESSONÂNCIA MAGNÉTICA DE CABEÇA</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TÉCNICA:</w:t>
      </w:r>
    </w:p>
    <w:p w:rsidR="00000000" w:rsidDel="00000000" w:rsidP="00000000" w:rsidRDefault="00000000" w:rsidRPr="00000000">
      <w:pPr>
        <w:contextualSpacing w:val="0"/>
        <w:jc w:val="both"/>
        <w:rPr>
          <w:color w:val="494949"/>
        </w:rPr>
      </w:pPr>
      <w:r w:rsidDel="00000000" w:rsidR="00000000" w:rsidRPr="00000000">
        <w:rPr>
          <w:color w:val="494949"/>
          <w:rtl w:val="0"/>
        </w:rPr>
        <w:t xml:space="preserve">Aquisições multiplanares de imagens enfatizadas em T1, T2 com supressão do sinal do tecido adiposo e técnica FLAIR, T2* e difusão. Após a injeção EV do meio de contraste paramagnético, obtidas aquisições 3D e 2D em T1, com e sem supressão do sinal do tecido adiposo. Foi realizada aquisição adicional de imagens isotrópicas hiperponderadas em T2 - FIESTA / SPACE.</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ACHADOS: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Áreas de sinal semelhante ao liquórico circundadas por mínimos halos de alto sinal em T1/FLAIR nas porções polares dos lobos frontais, em substância branca mais periférica e que poupam as fibras em "U", alongadas, confluentes e com trajetos aproximadamente centrípetos em relação aos cornos anteriores dos ventrículos laterais, sendo duas mais proeminentes de cada lado. Não há efeito de massa ou atrófico, impregnação pelo meio de contraste ou restrição à difusão associados.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Diminutos focos de alto sinal em T1 e FLAIR na substância branca dos centros semiovais, alguns em trajetos de vasos medulares.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Espaços liquóricos das convexidades parietais altas e frontais e temporais polares amplos, achado habitual e sem significado clínico na faixa etária.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Persistência dos septos pelúcido e de Verga, variantes anatômicas.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Restante das estruturas encefálicas com posições, morfologia e características de sinal normais e padrão de mielinização esperado para a idade cronológica.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Não foram caracterizadas áreas de contrastação patológica.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Não foram identificadas áreas de restrição à difusão.</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Espessamento mucoso das cavidades paranasais.</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IMPRESSÃO:</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Áreas de sinal semelhante ao liquórico circundadas por mínima alteração de sinal (hipermielinização focal ?) na substância branca periférica dos polos frontais, alongadas e confluentes e de natureza indeterminada ao método. O diagnóstico diferencial inclui alterações sequelares, espaços perivasculares alargados e cistos gliais, dentre outras possibilidades.</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Diminutos focos de alteração de sinal esparsos na substância branca dos centros semiovais, alguns em trajetos de vasos medulares, de significado inespecífico.</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Restante do exame encefálico dentro dos limites da normalidade e com estágio de mielinização normal para a idade.</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A critério clínico, exame de controle em estágio mais avançado da mielinização pode trazer mais informações.</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ind w:left="360" w:firstLine="0"/>
        <w:contextualSpacing w:val="0"/>
        <w:rPr>
          <w:color w:val="494949"/>
        </w:rPr>
      </w:pPr>
      <w:r w:rsidDel="00000000" w:rsidR="00000000" w:rsidRPr="00000000">
        <w:rPr>
          <w:color w:val="494949"/>
          <w:rtl w:val="0"/>
        </w:rPr>
        <w:t xml:space="preserve"> </w:t>
      </w:r>
    </w:p>
    <w:p w:rsidR="00000000" w:rsidDel="00000000" w:rsidP="00000000" w:rsidRDefault="00000000" w:rsidRPr="00000000">
      <w:pPr>
        <w:ind w:left="360" w:firstLine="0"/>
        <w:contextualSpacing w:val="0"/>
        <w:jc w:val="right"/>
        <w:rPr>
          <w:b w:val="1"/>
          <w:color w:val="494949"/>
        </w:rPr>
      </w:pPr>
      <w:r w:rsidDel="00000000" w:rsidR="00000000" w:rsidRPr="00000000">
        <w:rPr>
          <w:b w:val="1"/>
          <w:color w:val="494949"/>
          <w:rtl w:val="0"/>
        </w:rPr>
        <w:t xml:space="preserve">Relatado por: Dra. Ana Claudia Botelho Piovesan CRM 124690</w:t>
      </w:r>
    </w:p>
    <w:p w:rsidR="00000000" w:rsidDel="00000000" w:rsidP="00000000" w:rsidRDefault="00000000" w:rsidRPr="00000000">
      <w:pPr>
        <w:ind w:left="360" w:firstLine="0"/>
        <w:contextualSpacing w:val="0"/>
        <w:jc w:val="center"/>
        <w:rPr>
          <w:b w:val="1"/>
          <w:color w:val="494949"/>
        </w:rPr>
      </w:pPr>
      <w:r w:rsidDel="00000000" w:rsidR="00000000" w:rsidRPr="00000000">
        <w:rPr>
          <w:b w:val="1"/>
          <w:color w:val="494949"/>
          <w:rtl w:val="0"/>
        </w:rPr>
        <w:t xml:space="preserve">Revisado e Assinado Eletronicamente por: Dra. Ana Claudia Botelho Piovesan CRM 124690 e Dr. Benjamim Wolf Handfas CRM 36391</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