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do dia 06/11/2010 observa-se: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Foi introduzido cateter de derivação ventricular via trepanação parietal direita, com extremidade no interior do corno frontal do ventrículo lateral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Houve discreta redução da moderada / acentuada dilatação dos ventrículos laterais (esquerdo maior) e do terceiro ventrículo, permanecendo similar o abaulamento / herniação inferior do soalho do terceiro ventrículo em direção à cisterna supra-selar.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Quarto ventrículo permanece com dimensões discretamente aumentadas.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Cisterna magna ampla e que se continua com espaço liquórico retrovermiano inferior alargado, compatível com variação anatômica.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Tênues focos hipoatenuantes subcorticais frontais à esquerda, sem efeito expansivo.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morfologia, posição e coeficientes de atenuação preservados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do revestimento mucoso maxilo-etmoidal.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pós derivação ventricular que demonstra em relação ao exame anterior do dia 06/11/2010 discreta redução das dimensões dos ventrículos laterais, neste controle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Fabrício Stewan Feltrin - CRM 120937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Fabricio Stewan Feltrin - CRM 120937 e Dr. Edson Amaro Junior - CRM 78604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