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gpwrd1k7vpd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Aquisições helicoidais de cortes axiais de 0,5 mm de colimação, antes e após a injeção EV do meio de contraste e seguidas de reconstruções de cortes axiais de 2,0; 3,0 e 5,0 mm de espessura.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Duas lesões expansivas extra-axial com base dural, localizadas nas convexidades frontais uma à esquerda e outra à direita, sendo a esquerda discretamente maior com calcificação grosseira de permeio. Têm contornos discretamente lobulados e são isoatenuantes na fase pré-contraste com realce pelo contraste. Determinam mínima impressão sobre o parênquima encefálico subjacente da porção posterior do giro frontal médio esquerdo e pré central direito.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Outra imagem nodular densamente calcificada de base dural na convexidade parietal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Sulcos corticais e sistema ventricular amplos.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encefálicas com atenuação preservada.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Calcificações parietais nos segmentos intracavernosos e supraclinoideos das artérias carótidas internas.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Diminutas hipodensidades focais esparsas nos ossos da calota craniana, inespecíficas.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Lesões expansivas extra-axiais nas convexidades frontais, mais provavelmente representando meningiomas. Outra área nodular densamente calcificada de base dural na convexidade parietal direita, pode representar meningioma densamente calcificado/ossificação dural. A critério clínico correlacionar com ressonância magnética.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Fraturas da face e órbitas descritas no estudo específico realizado nesta mesma data.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Ellison Fernando Cardoso CRM 90787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Ellison Fernando Cardoso CRM 90787 e Dr. Eduardo Carneiro Lima CRM 77511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