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DA CABEÇA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de cabeça, realizada com aquisição helicoidal de cortes axiais de 0,5 mm de espessura, seguida de reconstruções de cortes axiais de 2, 3 e 5 mm de espessura, sem contraste.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Espessamento e densificação das partes moles extracranianas na região periorbitária e frontal à esquerda, com pequenas bolhas de gás subcutâneas de permeio.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Discretas irregularidades de contornos no dorso do osso nasal à esquerda, sem desalinhamentos significativos. Discreto desvio da pirâmide nasal para a esquerda.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há sinais inequívocos de fraturas cranianas.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Zona cuneiforme córtico-subcortical, com atenuação próxima ao líquor, temporal lateral e posterior à esquerda, com discreto efeito retrátil, caracterizado por leve dilatação adaptativa do corno temporal do ventrículo lateral deste lado.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Discreta hipoatenuação da substância branca periventricular, ao redor dos cornos frontais dos ventrículos laterais.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Alargamento dos sulcos corticais, fissuras inter-hemisférica e sylvianas, com moderado aumento dos ventrículos laterais e III ventrículo. Cisternas da base e espaços liquóricos entre folias cerebelares amplos.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Alongamento e tortuosidade dos principais troncos arteriais intracranianos, notando-se calcificações parietais nos segmentos intracavernosos e supraclinoideos das artérias carótidas internas.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há sinais de hemorragia aguda intracraniana.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Espessamento do revestimento mucoso do trabeculado etmoidal e seios maxilares, com contornos lobulados nestes últimos (prováveis cistos de retenção e / ou pólipos de permeio).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Hiperostose benigna difusa da calota craniana, com predomínio frontal bilateral.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Alterações degenerativas das articulações têmporo-mandibulares, de forma mais evidente à direita.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Impressão: Edema / hematoma do tecido subcutâneo na região fronto-orbitária esquerda, com sinais de solução de continuidade com o meio externo.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Discretas irregularidades de contornos no dorso do osso nasal à esquerda, que podem corresponder a diminuta fratura sem desalinhamentos, não necessariamente relacionada ao evento traumático atual.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Zona de encefalomalácia / gliose seqüelar temporal à esquerda (território de ramos de distribuição da artéria cerebral média), com discreto aumento adaptativo dos espaços liquóricos adjacentes.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Discreta hipoatenuação da substância branca periventricular, inespecífica, que pode representar rarefação de mielina / gliose.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Sinais de redução volumétrica do encéfalo e de degeneração aterosclerótica das artérias intracranianas.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Relatado por: Dr. ALCINO ALVES BARBOSA JR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Revisado e Assinado Eletronicamente por: Dr. ALCINO ALVES BARBOSA JR e Dr. MARCO DA CUNHA PINHO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